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10AC" w14:textId="77777777" w:rsidR="006627DD" w:rsidRPr="008046AF" w:rsidRDefault="00242C88" w:rsidP="00BC5F2E">
      <w:pPr>
        <w:spacing w:after="120" w:line="240" w:lineRule="auto"/>
        <w:jc w:val="center"/>
        <w:rPr>
          <w:b/>
          <w:color w:val="0070C0"/>
          <w:sz w:val="24"/>
        </w:rPr>
      </w:pPr>
      <w:r w:rsidRPr="008046AF">
        <w:rPr>
          <w:b/>
          <w:color w:val="0070C0"/>
          <w:sz w:val="24"/>
        </w:rPr>
        <w:t>MLT Program of Maine – Student Performance Outcomes</w:t>
      </w:r>
    </w:p>
    <w:p w14:paraId="7EB754E5" w14:textId="77777777" w:rsidR="00242C88" w:rsidRDefault="00242C88" w:rsidP="00BC5F2E">
      <w:pPr>
        <w:spacing w:after="120" w:line="240" w:lineRule="auto"/>
      </w:pPr>
      <w:r>
        <w:t>Graduates of the MLT Program of Maine are eligible for national certification as Medical Laboratory Technicians (MLTs).</w:t>
      </w:r>
    </w:p>
    <w:p w14:paraId="5A40E128" w14:textId="77777777" w:rsidR="00FE2C8E" w:rsidRPr="00FE2C8E" w:rsidRDefault="00DD7865" w:rsidP="00BC5F2E">
      <w:pPr>
        <w:spacing w:after="120" w:line="240" w:lineRule="auto"/>
        <w:rPr>
          <w:b/>
          <w:color w:val="0070C0"/>
        </w:rPr>
      </w:pPr>
      <w:r w:rsidRPr="00DD7865">
        <w:rPr>
          <w:b/>
          <w:color w:val="0070C0"/>
        </w:rPr>
        <w:t>ASCP Board of Certification Results</w:t>
      </w:r>
      <w:r w:rsidR="00FE2C8E">
        <w:rPr>
          <w:b/>
          <w:color w:val="0070C0"/>
        </w:rPr>
        <w:t xml:space="preserve"> </w:t>
      </w:r>
      <w:r w:rsidR="00FE2C8E" w:rsidRPr="00FE2C8E">
        <w:rPr>
          <w:b/>
          <w:color w:val="0070C0"/>
        </w:rPr>
        <w:t>– NAACL</w:t>
      </w:r>
      <w:r w:rsidR="00C16BE9">
        <w:rPr>
          <w:b/>
          <w:color w:val="0070C0"/>
        </w:rPr>
        <w:t xml:space="preserve">S </w:t>
      </w:r>
      <w:r w:rsidR="000A5F53">
        <w:rPr>
          <w:b/>
          <w:color w:val="0070C0"/>
        </w:rPr>
        <w:t>Benchmark</w:t>
      </w:r>
      <w:r w:rsidR="00C16BE9">
        <w:rPr>
          <w:b/>
          <w:color w:val="0070C0"/>
        </w:rPr>
        <w:t xml:space="preserve"> 75</w:t>
      </w:r>
      <w:r w:rsidR="00FE2C8E" w:rsidRPr="00FE2C8E">
        <w:rPr>
          <w:b/>
          <w:color w:val="0070C0"/>
        </w:rPr>
        <w:t>%</w:t>
      </w:r>
    </w:p>
    <w:p w14:paraId="060AA110" w14:textId="77777777" w:rsidR="00242C88" w:rsidRDefault="00242C88" w:rsidP="00BC5F2E">
      <w:pPr>
        <w:spacing w:after="120" w:line="240" w:lineRule="auto"/>
      </w:pPr>
      <w:r>
        <w:t>The following table lists the number of graduates, number of first-time exam</w:t>
      </w:r>
      <w:r w:rsidR="00212C5E">
        <w:t>inees</w:t>
      </w:r>
      <w:r>
        <w:t>, number of first-time exam takers who passed the exam, and the percentage of first-time p</w:t>
      </w:r>
      <w:r w:rsidR="00956C33">
        <w:t xml:space="preserve">ass rates for program graduates within </w:t>
      </w:r>
      <w:r w:rsidR="00F07FE4">
        <w:t>12 months of</w:t>
      </w:r>
      <w:r w:rsidR="00956C33">
        <w:t xml:space="preserve"> graduation. </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111"/>
        <w:gridCol w:w="2738"/>
        <w:gridCol w:w="2124"/>
        <w:gridCol w:w="2862"/>
      </w:tblGrid>
      <w:tr w:rsidR="00077AFB" w14:paraId="40F41F47" w14:textId="77777777" w:rsidTr="004F1731">
        <w:trPr>
          <w:trHeight w:val="836"/>
        </w:trPr>
        <w:tc>
          <w:tcPr>
            <w:tcW w:w="943" w:type="dxa"/>
          </w:tcPr>
          <w:p w14:paraId="60D19B02" w14:textId="77777777" w:rsidR="00077AFB" w:rsidRPr="008A4A42" w:rsidRDefault="00077AFB" w:rsidP="008A4A42">
            <w:pPr>
              <w:jc w:val="center"/>
              <w:rPr>
                <w:b/>
              </w:rPr>
            </w:pPr>
            <w:r w:rsidRPr="008A4A42">
              <w:rPr>
                <w:b/>
              </w:rPr>
              <w:t>Year</w:t>
            </w:r>
          </w:p>
        </w:tc>
        <w:tc>
          <w:tcPr>
            <w:tcW w:w="2111" w:type="dxa"/>
          </w:tcPr>
          <w:p w14:paraId="64347E68" w14:textId="77777777" w:rsidR="00077AFB" w:rsidRPr="008A4A42" w:rsidRDefault="00077AFB" w:rsidP="008A4A42">
            <w:pPr>
              <w:jc w:val="center"/>
              <w:rPr>
                <w:b/>
              </w:rPr>
            </w:pPr>
            <w:r w:rsidRPr="008A4A42">
              <w:rPr>
                <w:b/>
              </w:rPr>
              <w:t>Number of Program Graduates</w:t>
            </w:r>
          </w:p>
        </w:tc>
        <w:tc>
          <w:tcPr>
            <w:tcW w:w="2738" w:type="dxa"/>
          </w:tcPr>
          <w:p w14:paraId="4CE23E16" w14:textId="77777777" w:rsidR="00077AFB" w:rsidRPr="008A4A42" w:rsidRDefault="00077AFB" w:rsidP="008A4A42">
            <w:pPr>
              <w:jc w:val="center"/>
              <w:rPr>
                <w:b/>
              </w:rPr>
            </w:pPr>
            <w:r w:rsidRPr="008A4A42">
              <w:rPr>
                <w:b/>
              </w:rPr>
              <w:t xml:space="preserve">Number of first-time </w:t>
            </w:r>
            <w:r>
              <w:rPr>
                <w:b/>
              </w:rPr>
              <w:t xml:space="preserve">ASCP </w:t>
            </w:r>
            <w:r w:rsidRPr="008A4A42">
              <w:rPr>
                <w:b/>
              </w:rPr>
              <w:t>examinees</w:t>
            </w:r>
          </w:p>
        </w:tc>
        <w:tc>
          <w:tcPr>
            <w:tcW w:w="2124" w:type="dxa"/>
          </w:tcPr>
          <w:p w14:paraId="1E74B7D2" w14:textId="77777777" w:rsidR="00077AFB" w:rsidRPr="008A4A42" w:rsidRDefault="00077AFB" w:rsidP="008A4A42">
            <w:pPr>
              <w:jc w:val="center"/>
              <w:rPr>
                <w:b/>
              </w:rPr>
            </w:pPr>
            <w:r w:rsidRPr="008A4A42">
              <w:rPr>
                <w:b/>
              </w:rPr>
              <w:t xml:space="preserve">Number of first-time </w:t>
            </w:r>
            <w:r>
              <w:rPr>
                <w:b/>
              </w:rPr>
              <w:t xml:space="preserve">ASCP </w:t>
            </w:r>
            <w:r w:rsidRPr="008A4A42">
              <w:rPr>
                <w:b/>
              </w:rPr>
              <w:t>examinees that passed</w:t>
            </w:r>
          </w:p>
        </w:tc>
        <w:tc>
          <w:tcPr>
            <w:tcW w:w="2862" w:type="dxa"/>
          </w:tcPr>
          <w:p w14:paraId="7EBCC75B" w14:textId="77777777" w:rsidR="00077AFB" w:rsidRPr="008A4A42" w:rsidRDefault="00077AFB" w:rsidP="008A4A42">
            <w:pPr>
              <w:jc w:val="center"/>
              <w:rPr>
                <w:b/>
              </w:rPr>
            </w:pPr>
            <w:r w:rsidRPr="008A4A42">
              <w:rPr>
                <w:b/>
              </w:rPr>
              <w:t xml:space="preserve">Percentage of first-time </w:t>
            </w:r>
            <w:r>
              <w:rPr>
                <w:b/>
              </w:rPr>
              <w:t xml:space="preserve">ASCP </w:t>
            </w:r>
            <w:r w:rsidRPr="008A4A42">
              <w:rPr>
                <w:b/>
              </w:rPr>
              <w:t>examinees that passed</w:t>
            </w:r>
          </w:p>
        </w:tc>
      </w:tr>
      <w:tr w:rsidR="00337D03" w14:paraId="34D9197A" w14:textId="77777777" w:rsidTr="004F1731">
        <w:trPr>
          <w:trHeight w:val="512"/>
        </w:trPr>
        <w:tc>
          <w:tcPr>
            <w:tcW w:w="943" w:type="dxa"/>
          </w:tcPr>
          <w:p w14:paraId="7060C580" w14:textId="6120B240" w:rsidR="00337D03" w:rsidRPr="00D41D03" w:rsidRDefault="00337D03" w:rsidP="00337D03">
            <w:pPr>
              <w:ind w:right="-158"/>
            </w:pPr>
            <w:r>
              <w:t>2023</w:t>
            </w:r>
          </w:p>
        </w:tc>
        <w:tc>
          <w:tcPr>
            <w:tcW w:w="2111" w:type="dxa"/>
          </w:tcPr>
          <w:p w14:paraId="4B85B01E" w14:textId="7BA88C4D" w:rsidR="00337D03" w:rsidRDefault="00337D03" w:rsidP="00337D03">
            <w:pPr>
              <w:jc w:val="center"/>
            </w:pPr>
            <w:r w:rsidRPr="00D77BE6">
              <w:t>11</w:t>
            </w:r>
          </w:p>
        </w:tc>
        <w:tc>
          <w:tcPr>
            <w:tcW w:w="2738" w:type="dxa"/>
          </w:tcPr>
          <w:p w14:paraId="62C24909" w14:textId="0EBC05AC" w:rsidR="00337D03" w:rsidRDefault="00337D03" w:rsidP="00337D03">
            <w:pPr>
              <w:jc w:val="center"/>
            </w:pPr>
            <w:r>
              <w:t>8</w:t>
            </w:r>
          </w:p>
        </w:tc>
        <w:tc>
          <w:tcPr>
            <w:tcW w:w="2124" w:type="dxa"/>
          </w:tcPr>
          <w:p w14:paraId="5278CBD0" w14:textId="4AAEEE53" w:rsidR="00337D03" w:rsidRDefault="00337D03" w:rsidP="00337D03">
            <w:pPr>
              <w:jc w:val="center"/>
            </w:pPr>
            <w:r>
              <w:t>7</w:t>
            </w:r>
          </w:p>
        </w:tc>
        <w:tc>
          <w:tcPr>
            <w:tcW w:w="2862" w:type="dxa"/>
          </w:tcPr>
          <w:p w14:paraId="0DBD76AB" w14:textId="77777777" w:rsidR="00337D03" w:rsidRDefault="00337D03" w:rsidP="00337D03">
            <w:pPr>
              <w:spacing w:after="0" w:line="240" w:lineRule="auto"/>
              <w:jc w:val="center"/>
            </w:pPr>
            <w:r>
              <w:t>88%</w:t>
            </w:r>
          </w:p>
          <w:p w14:paraId="7F2FD9D4" w14:textId="33F9B5BA" w:rsidR="00337D03" w:rsidRDefault="00337D03" w:rsidP="00337D03">
            <w:pPr>
              <w:jc w:val="center"/>
            </w:pPr>
          </w:p>
        </w:tc>
      </w:tr>
      <w:tr w:rsidR="00337D03" w14:paraId="6149D2EF" w14:textId="77777777" w:rsidTr="004F1731">
        <w:trPr>
          <w:trHeight w:val="507"/>
        </w:trPr>
        <w:tc>
          <w:tcPr>
            <w:tcW w:w="943" w:type="dxa"/>
          </w:tcPr>
          <w:p w14:paraId="07B3239B" w14:textId="387E2649" w:rsidR="00337D03" w:rsidRPr="00D41D03" w:rsidRDefault="00337D03" w:rsidP="00337D03">
            <w:pPr>
              <w:ind w:right="-158"/>
            </w:pPr>
            <w:r>
              <w:t>2024</w:t>
            </w:r>
          </w:p>
        </w:tc>
        <w:tc>
          <w:tcPr>
            <w:tcW w:w="2111" w:type="dxa"/>
          </w:tcPr>
          <w:p w14:paraId="7E69B351" w14:textId="5A8F7FC8" w:rsidR="00337D03" w:rsidRDefault="00337D03" w:rsidP="00337D03">
            <w:pPr>
              <w:jc w:val="center"/>
            </w:pPr>
            <w:r w:rsidRPr="00D77BE6">
              <w:t>1</w:t>
            </w:r>
            <w:r>
              <w:t>3</w:t>
            </w:r>
          </w:p>
        </w:tc>
        <w:tc>
          <w:tcPr>
            <w:tcW w:w="2738" w:type="dxa"/>
          </w:tcPr>
          <w:p w14:paraId="38112B9A" w14:textId="4E25FD83" w:rsidR="00337D03" w:rsidRDefault="00337D03" w:rsidP="00337D03">
            <w:pPr>
              <w:jc w:val="center"/>
            </w:pPr>
            <w:r>
              <w:t>11</w:t>
            </w:r>
          </w:p>
        </w:tc>
        <w:tc>
          <w:tcPr>
            <w:tcW w:w="2124" w:type="dxa"/>
          </w:tcPr>
          <w:p w14:paraId="05C2927C" w14:textId="227B6CF9" w:rsidR="00337D03" w:rsidRDefault="00337D03" w:rsidP="00337D03">
            <w:pPr>
              <w:jc w:val="center"/>
            </w:pPr>
            <w:r>
              <w:t>11</w:t>
            </w:r>
          </w:p>
        </w:tc>
        <w:tc>
          <w:tcPr>
            <w:tcW w:w="2862" w:type="dxa"/>
          </w:tcPr>
          <w:p w14:paraId="741052E3" w14:textId="77777777" w:rsidR="00337D03" w:rsidRDefault="00337D03" w:rsidP="00337D03">
            <w:pPr>
              <w:spacing w:after="0" w:line="240" w:lineRule="auto"/>
              <w:jc w:val="center"/>
            </w:pPr>
            <w:r>
              <w:t>100%</w:t>
            </w:r>
          </w:p>
          <w:p w14:paraId="147A42DE" w14:textId="351335C4" w:rsidR="00337D03" w:rsidRDefault="00337D03" w:rsidP="00337D03">
            <w:pPr>
              <w:jc w:val="center"/>
            </w:pPr>
          </w:p>
        </w:tc>
      </w:tr>
      <w:tr w:rsidR="00077AFB" w14:paraId="4EA840BE" w14:textId="77777777" w:rsidTr="004F1731">
        <w:trPr>
          <w:trHeight w:val="533"/>
        </w:trPr>
        <w:tc>
          <w:tcPr>
            <w:tcW w:w="943" w:type="dxa"/>
            <w:tcBorders>
              <w:bottom w:val="thinThickSmallGap" w:sz="24" w:space="0" w:color="auto"/>
            </w:tcBorders>
          </w:tcPr>
          <w:p w14:paraId="682E0DD6" w14:textId="43ECEC11" w:rsidR="00077AFB" w:rsidRPr="00D41D03" w:rsidRDefault="00337D03" w:rsidP="00AA78EC">
            <w:pPr>
              <w:ind w:right="-158"/>
            </w:pPr>
            <w:r>
              <w:t>2025</w:t>
            </w:r>
          </w:p>
        </w:tc>
        <w:tc>
          <w:tcPr>
            <w:tcW w:w="2111" w:type="dxa"/>
            <w:tcBorders>
              <w:bottom w:val="thinThickSmallGap" w:sz="24" w:space="0" w:color="auto"/>
            </w:tcBorders>
          </w:tcPr>
          <w:p w14:paraId="49D5C3FA" w14:textId="67D42682" w:rsidR="00077AFB" w:rsidRPr="00D77BE6" w:rsidRDefault="00315529" w:rsidP="00AA78EC">
            <w:pPr>
              <w:jc w:val="center"/>
            </w:pPr>
            <w:r>
              <w:t>11</w:t>
            </w:r>
          </w:p>
        </w:tc>
        <w:tc>
          <w:tcPr>
            <w:tcW w:w="2738" w:type="dxa"/>
            <w:tcBorders>
              <w:bottom w:val="thinThickSmallGap" w:sz="24" w:space="0" w:color="auto"/>
            </w:tcBorders>
          </w:tcPr>
          <w:p w14:paraId="28CC239D" w14:textId="435F4596" w:rsidR="00077AFB" w:rsidRPr="00D77BE6" w:rsidRDefault="00315529" w:rsidP="00AA78EC">
            <w:pPr>
              <w:jc w:val="center"/>
            </w:pPr>
            <w:r>
              <w:t>10</w:t>
            </w:r>
          </w:p>
        </w:tc>
        <w:tc>
          <w:tcPr>
            <w:tcW w:w="2124" w:type="dxa"/>
            <w:tcBorders>
              <w:bottom w:val="thinThickSmallGap" w:sz="24" w:space="0" w:color="auto"/>
            </w:tcBorders>
          </w:tcPr>
          <w:p w14:paraId="3A7F170D" w14:textId="6DF12ADB" w:rsidR="00077AFB" w:rsidRDefault="00315529" w:rsidP="00AA78EC">
            <w:pPr>
              <w:jc w:val="center"/>
            </w:pPr>
            <w:r>
              <w:t>10</w:t>
            </w:r>
          </w:p>
        </w:tc>
        <w:tc>
          <w:tcPr>
            <w:tcW w:w="2862" w:type="dxa"/>
            <w:tcBorders>
              <w:bottom w:val="thinThickSmallGap" w:sz="24" w:space="0" w:color="auto"/>
            </w:tcBorders>
          </w:tcPr>
          <w:p w14:paraId="38A41F78" w14:textId="22D2287D" w:rsidR="00A80676" w:rsidRDefault="00315529" w:rsidP="00A80676">
            <w:pPr>
              <w:spacing w:after="0" w:line="240" w:lineRule="auto"/>
              <w:jc w:val="center"/>
            </w:pPr>
            <w:r>
              <w:t>100%</w:t>
            </w:r>
          </w:p>
        </w:tc>
      </w:tr>
      <w:tr w:rsidR="00D204E3" w14:paraId="1C38E2A6" w14:textId="77777777" w:rsidTr="004F1731">
        <w:trPr>
          <w:trHeight w:val="440"/>
        </w:trPr>
        <w:tc>
          <w:tcPr>
            <w:tcW w:w="7916" w:type="dxa"/>
            <w:gridSpan w:val="4"/>
            <w:tcBorders>
              <w:top w:val="thinThickSmallGap" w:sz="24" w:space="0" w:color="auto"/>
            </w:tcBorders>
            <w:shd w:val="clear" w:color="auto" w:fill="D9E2F3" w:themeFill="accent1" w:themeFillTint="33"/>
          </w:tcPr>
          <w:p w14:paraId="750ED4A0" w14:textId="0BAED376" w:rsidR="00D204E3" w:rsidRPr="00D204E3" w:rsidRDefault="00D204E3" w:rsidP="00D204E3">
            <w:pPr>
              <w:ind w:right="-158"/>
              <w:jc w:val="center"/>
              <w:rPr>
                <w:b/>
                <w:sz w:val="20"/>
                <w:szCs w:val="20"/>
              </w:rPr>
            </w:pPr>
            <w:r>
              <w:rPr>
                <w:b/>
                <w:sz w:val="24"/>
                <w:szCs w:val="24"/>
              </w:rPr>
              <w:t>3-year average MLT Board of Certification Pass Rate</w:t>
            </w:r>
          </w:p>
        </w:tc>
        <w:tc>
          <w:tcPr>
            <w:tcW w:w="2862" w:type="dxa"/>
            <w:tcBorders>
              <w:top w:val="thinThickSmallGap" w:sz="24" w:space="0" w:color="auto"/>
            </w:tcBorders>
            <w:shd w:val="clear" w:color="auto" w:fill="D9E2F3" w:themeFill="accent1" w:themeFillTint="33"/>
          </w:tcPr>
          <w:p w14:paraId="54FFE886" w14:textId="196A6E83" w:rsidR="00D204E3" w:rsidRPr="00D77BE6" w:rsidRDefault="004D3579" w:rsidP="008A4A42">
            <w:pPr>
              <w:jc w:val="center"/>
              <w:rPr>
                <w:b/>
                <w:bCs/>
              </w:rPr>
            </w:pPr>
            <w:r>
              <w:rPr>
                <w:b/>
                <w:bCs/>
                <w:sz w:val="24"/>
                <w:szCs w:val="24"/>
              </w:rPr>
              <w:t>96</w:t>
            </w:r>
            <w:r w:rsidR="00D204E3" w:rsidRPr="00C376C8">
              <w:rPr>
                <w:b/>
                <w:bCs/>
                <w:sz w:val="24"/>
                <w:szCs w:val="24"/>
              </w:rPr>
              <w:t>%</w:t>
            </w:r>
          </w:p>
        </w:tc>
      </w:tr>
    </w:tbl>
    <w:p w14:paraId="4D5BA863" w14:textId="77777777" w:rsidR="00C42195" w:rsidRPr="00315529" w:rsidRDefault="00C42195" w:rsidP="00C42195">
      <w:pPr>
        <w:spacing w:after="0" w:line="240" w:lineRule="auto"/>
        <w:rPr>
          <w:b/>
          <w:color w:val="0070C0"/>
          <w:sz w:val="11"/>
          <w:szCs w:val="11"/>
        </w:rPr>
      </w:pPr>
    </w:p>
    <w:p w14:paraId="5057ACA4" w14:textId="77777777" w:rsidR="00002AE5" w:rsidRPr="00FE2C8E" w:rsidRDefault="00002AE5" w:rsidP="00BC5F2E">
      <w:pPr>
        <w:spacing w:after="120" w:line="240" w:lineRule="auto"/>
        <w:rPr>
          <w:b/>
          <w:color w:val="0070C0"/>
        </w:rPr>
      </w:pPr>
      <w:r w:rsidRPr="00FE2C8E">
        <w:rPr>
          <w:b/>
          <w:color w:val="0070C0"/>
        </w:rPr>
        <w:t xml:space="preserve">Graduation Rates – NAACLS </w:t>
      </w:r>
      <w:r w:rsidR="000A5F53">
        <w:rPr>
          <w:b/>
          <w:color w:val="0070C0"/>
        </w:rPr>
        <w:t>Benchmark</w:t>
      </w:r>
      <w:r w:rsidRPr="00FE2C8E">
        <w:rPr>
          <w:b/>
          <w:color w:val="0070C0"/>
        </w:rPr>
        <w:t xml:space="preserve"> 70%</w:t>
      </w:r>
    </w:p>
    <w:p w14:paraId="4E86DEC7" w14:textId="1211DDC6" w:rsidR="00002AE5" w:rsidRDefault="00002AE5" w:rsidP="00BC5F2E">
      <w:pPr>
        <w:spacing w:after="120" w:line="240" w:lineRule="auto"/>
      </w:pPr>
      <w:r>
        <w:t xml:space="preserve">The following table lists the graduation rates for students of the MLT Program of Maine that began the second half of the </w:t>
      </w:r>
      <w:r w:rsidRPr="0078580B">
        <w:t>program (defined as</w:t>
      </w:r>
      <w:r w:rsidR="00E72356" w:rsidRPr="0078580B">
        <w:t xml:space="preserve"> summer and</w:t>
      </w:r>
      <w:r w:rsidRPr="0078580B">
        <w:t xml:space="preserve"> fall semester of the second year</w:t>
      </w:r>
      <w:r w:rsidR="004D3579">
        <w:t xml:space="preserve">). </w:t>
      </w:r>
    </w:p>
    <w:tbl>
      <w:tblPr>
        <w:tblW w:w="10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5291"/>
        <w:gridCol w:w="2933"/>
      </w:tblGrid>
      <w:tr w:rsidR="00D204E3" w14:paraId="4CAD8459" w14:textId="77777777" w:rsidTr="00D204E3">
        <w:trPr>
          <w:trHeight w:val="509"/>
        </w:trPr>
        <w:tc>
          <w:tcPr>
            <w:tcW w:w="2624" w:type="dxa"/>
          </w:tcPr>
          <w:p w14:paraId="271D51E9" w14:textId="77777777" w:rsidR="00D204E3" w:rsidRPr="008A4A42" w:rsidRDefault="00D204E3" w:rsidP="00AA78EC">
            <w:pPr>
              <w:jc w:val="center"/>
              <w:rPr>
                <w:b/>
              </w:rPr>
            </w:pPr>
            <w:r w:rsidRPr="008A4A42">
              <w:rPr>
                <w:b/>
              </w:rPr>
              <w:t>Year</w:t>
            </w:r>
          </w:p>
        </w:tc>
        <w:tc>
          <w:tcPr>
            <w:tcW w:w="8224" w:type="dxa"/>
            <w:gridSpan w:val="2"/>
          </w:tcPr>
          <w:p w14:paraId="420B75A8" w14:textId="26F05CE2" w:rsidR="00D204E3" w:rsidRDefault="00D204E3" w:rsidP="00AA78EC">
            <w:pPr>
              <w:jc w:val="center"/>
              <w:rPr>
                <w:b/>
              </w:rPr>
            </w:pPr>
            <w:r>
              <w:rPr>
                <w:b/>
              </w:rPr>
              <w:t xml:space="preserve">% Graduation </w:t>
            </w:r>
          </w:p>
        </w:tc>
      </w:tr>
      <w:tr w:rsidR="00337D03" w14:paraId="779639D9" w14:textId="77777777" w:rsidTr="00D204E3">
        <w:trPr>
          <w:trHeight w:val="528"/>
        </w:trPr>
        <w:tc>
          <w:tcPr>
            <w:tcW w:w="2624" w:type="dxa"/>
          </w:tcPr>
          <w:p w14:paraId="37BB2DC3" w14:textId="2ECD70F4" w:rsidR="00337D03" w:rsidRDefault="00337D03" w:rsidP="00337D03">
            <w:pPr>
              <w:jc w:val="center"/>
            </w:pPr>
            <w:r>
              <w:t>2023</w:t>
            </w:r>
          </w:p>
        </w:tc>
        <w:tc>
          <w:tcPr>
            <w:tcW w:w="8224" w:type="dxa"/>
            <w:gridSpan w:val="2"/>
          </w:tcPr>
          <w:p w14:paraId="27836A6A" w14:textId="4CD731D6" w:rsidR="00337D03" w:rsidRDefault="00337D03" w:rsidP="00337D03">
            <w:pPr>
              <w:jc w:val="center"/>
            </w:pPr>
            <w:r>
              <w:t>85%</w:t>
            </w:r>
          </w:p>
        </w:tc>
      </w:tr>
      <w:tr w:rsidR="00337D03" w14:paraId="715BFB6A" w14:textId="77777777" w:rsidTr="00D204E3">
        <w:trPr>
          <w:trHeight w:val="509"/>
        </w:trPr>
        <w:tc>
          <w:tcPr>
            <w:tcW w:w="2624" w:type="dxa"/>
          </w:tcPr>
          <w:p w14:paraId="593635C3" w14:textId="769FCE02" w:rsidR="00337D03" w:rsidRDefault="00337D03" w:rsidP="00337D03">
            <w:pPr>
              <w:jc w:val="center"/>
            </w:pPr>
            <w:r>
              <w:t>2024</w:t>
            </w:r>
          </w:p>
        </w:tc>
        <w:tc>
          <w:tcPr>
            <w:tcW w:w="8224" w:type="dxa"/>
            <w:gridSpan w:val="2"/>
          </w:tcPr>
          <w:p w14:paraId="538D5E00" w14:textId="6BAF18D0" w:rsidR="00337D03" w:rsidRDefault="00337D03" w:rsidP="00337D03">
            <w:pPr>
              <w:jc w:val="center"/>
            </w:pPr>
            <w:r>
              <w:t>81%</w:t>
            </w:r>
          </w:p>
        </w:tc>
      </w:tr>
      <w:tr w:rsidR="00D204E3" w14:paraId="1C8FE189" w14:textId="77777777" w:rsidTr="00BC5F2E">
        <w:trPr>
          <w:trHeight w:val="492"/>
        </w:trPr>
        <w:tc>
          <w:tcPr>
            <w:tcW w:w="2624" w:type="dxa"/>
            <w:tcBorders>
              <w:bottom w:val="thinThickSmallGap" w:sz="24" w:space="0" w:color="auto"/>
            </w:tcBorders>
          </w:tcPr>
          <w:p w14:paraId="70C91468" w14:textId="34BB98F5" w:rsidR="00D204E3" w:rsidRDefault="00315529" w:rsidP="000C2AFC">
            <w:pPr>
              <w:jc w:val="center"/>
            </w:pPr>
            <w:r>
              <w:t>2025</w:t>
            </w:r>
          </w:p>
        </w:tc>
        <w:tc>
          <w:tcPr>
            <w:tcW w:w="8224" w:type="dxa"/>
            <w:gridSpan w:val="2"/>
            <w:tcBorders>
              <w:bottom w:val="thinThickSmallGap" w:sz="24" w:space="0" w:color="auto"/>
            </w:tcBorders>
          </w:tcPr>
          <w:p w14:paraId="25F7554B" w14:textId="301F8475" w:rsidR="00D204E3" w:rsidRDefault="00315529" w:rsidP="000C2AFC">
            <w:pPr>
              <w:jc w:val="center"/>
            </w:pPr>
            <w:r>
              <w:t>92%</w:t>
            </w:r>
          </w:p>
        </w:tc>
      </w:tr>
      <w:tr w:rsidR="00D204E3" w14:paraId="3218F80E" w14:textId="17C92067" w:rsidTr="00BC5F2E">
        <w:trPr>
          <w:trHeight w:val="492"/>
        </w:trPr>
        <w:tc>
          <w:tcPr>
            <w:tcW w:w="7915" w:type="dxa"/>
            <w:gridSpan w:val="2"/>
            <w:tcBorders>
              <w:top w:val="thinThickSmallGap" w:sz="24" w:space="0" w:color="auto"/>
            </w:tcBorders>
            <w:shd w:val="clear" w:color="auto" w:fill="D9E2F3" w:themeFill="accent1" w:themeFillTint="33"/>
          </w:tcPr>
          <w:p w14:paraId="0450FD7B" w14:textId="6670F184" w:rsidR="00D204E3" w:rsidRPr="00BC5F2E" w:rsidRDefault="00D204E3" w:rsidP="00D204E3">
            <w:pPr>
              <w:jc w:val="center"/>
              <w:rPr>
                <w:b/>
                <w:sz w:val="24"/>
                <w:szCs w:val="24"/>
              </w:rPr>
            </w:pPr>
            <w:r>
              <w:rPr>
                <w:b/>
                <w:sz w:val="24"/>
                <w:szCs w:val="24"/>
              </w:rPr>
              <w:t>3-year average Graduation Rate</w:t>
            </w:r>
          </w:p>
        </w:tc>
        <w:tc>
          <w:tcPr>
            <w:tcW w:w="2933" w:type="dxa"/>
            <w:tcBorders>
              <w:top w:val="thinThickSmallGap" w:sz="24" w:space="0" w:color="auto"/>
            </w:tcBorders>
            <w:shd w:val="clear" w:color="auto" w:fill="D9E2F3" w:themeFill="accent1" w:themeFillTint="33"/>
          </w:tcPr>
          <w:p w14:paraId="19ECDC72" w14:textId="7D222AD5" w:rsidR="00D204E3" w:rsidRPr="00BC5F2E" w:rsidRDefault="004D3579" w:rsidP="000C2AFC">
            <w:pPr>
              <w:jc w:val="center"/>
              <w:rPr>
                <w:b/>
                <w:sz w:val="24"/>
                <w:szCs w:val="24"/>
              </w:rPr>
            </w:pPr>
            <w:r>
              <w:rPr>
                <w:b/>
                <w:sz w:val="24"/>
                <w:szCs w:val="24"/>
              </w:rPr>
              <w:t>8</w:t>
            </w:r>
            <w:r w:rsidR="00315529">
              <w:rPr>
                <w:b/>
                <w:sz w:val="24"/>
                <w:szCs w:val="24"/>
              </w:rPr>
              <w:t>6</w:t>
            </w:r>
            <w:r w:rsidR="00D204E3" w:rsidRPr="00C376C8">
              <w:rPr>
                <w:b/>
                <w:sz w:val="24"/>
                <w:szCs w:val="24"/>
              </w:rPr>
              <w:t>%</w:t>
            </w:r>
          </w:p>
        </w:tc>
      </w:tr>
    </w:tbl>
    <w:p w14:paraId="56CBFC97" w14:textId="77777777" w:rsidR="00002AE5" w:rsidRPr="00315529" w:rsidRDefault="00002AE5" w:rsidP="00002AE5">
      <w:pPr>
        <w:spacing w:after="0" w:line="240" w:lineRule="auto"/>
        <w:rPr>
          <w:b/>
          <w:color w:val="365F91"/>
          <w:sz w:val="11"/>
          <w:szCs w:val="11"/>
        </w:rPr>
      </w:pPr>
    </w:p>
    <w:p w14:paraId="6AA6130E" w14:textId="77777777" w:rsidR="00002AE5" w:rsidRPr="00FE2C8E" w:rsidRDefault="00002AE5" w:rsidP="00BC5F2E">
      <w:pPr>
        <w:spacing w:after="120" w:line="240" w:lineRule="auto"/>
        <w:rPr>
          <w:b/>
          <w:color w:val="0070C0"/>
        </w:rPr>
      </w:pPr>
      <w:r w:rsidRPr="00FE2C8E">
        <w:rPr>
          <w:b/>
          <w:color w:val="0070C0"/>
        </w:rPr>
        <w:t xml:space="preserve">Graduate Placement Rates – NAACLS </w:t>
      </w:r>
      <w:r w:rsidR="000A5F53">
        <w:rPr>
          <w:b/>
          <w:color w:val="0070C0"/>
        </w:rPr>
        <w:t>Benchmark</w:t>
      </w:r>
      <w:r w:rsidRPr="00FE2C8E">
        <w:rPr>
          <w:b/>
          <w:color w:val="0070C0"/>
        </w:rPr>
        <w:t xml:space="preserve"> 70%</w:t>
      </w:r>
    </w:p>
    <w:p w14:paraId="0035F700" w14:textId="77777777" w:rsidR="00002AE5" w:rsidRDefault="00002AE5" w:rsidP="00BC5F2E">
      <w:pPr>
        <w:spacing w:after="120" w:line="240" w:lineRule="auto"/>
      </w:pPr>
      <w:r>
        <w:t>The following table lists the program graduates that found jobs in the medical laboratory science profession within 12 months following successful completion of the program and the number of graduates that continued their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274"/>
        <w:gridCol w:w="2884"/>
        <w:gridCol w:w="2057"/>
        <w:gridCol w:w="462"/>
        <w:gridCol w:w="2233"/>
      </w:tblGrid>
      <w:tr w:rsidR="00002AE5" w14:paraId="0AF64367" w14:textId="77777777" w:rsidTr="00077AFB">
        <w:tc>
          <w:tcPr>
            <w:tcW w:w="880" w:type="dxa"/>
          </w:tcPr>
          <w:p w14:paraId="31517898" w14:textId="77777777" w:rsidR="00002AE5" w:rsidRPr="008A4A42" w:rsidRDefault="00002AE5" w:rsidP="00AA78EC">
            <w:pPr>
              <w:jc w:val="center"/>
              <w:rPr>
                <w:b/>
              </w:rPr>
            </w:pPr>
            <w:r w:rsidRPr="008A4A42">
              <w:rPr>
                <w:b/>
              </w:rPr>
              <w:t>Year</w:t>
            </w:r>
          </w:p>
        </w:tc>
        <w:tc>
          <w:tcPr>
            <w:tcW w:w="2274" w:type="dxa"/>
          </w:tcPr>
          <w:p w14:paraId="1D8C1E89" w14:textId="77777777" w:rsidR="00002AE5" w:rsidRPr="008A4A42" w:rsidRDefault="00002AE5" w:rsidP="00AA78EC">
            <w:pPr>
              <w:jc w:val="center"/>
              <w:rPr>
                <w:b/>
              </w:rPr>
            </w:pPr>
            <w:r w:rsidRPr="008A4A42">
              <w:rPr>
                <w:b/>
              </w:rPr>
              <w:t>Number of Program Graduates</w:t>
            </w:r>
          </w:p>
        </w:tc>
        <w:tc>
          <w:tcPr>
            <w:tcW w:w="2884" w:type="dxa"/>
          </w:tcPr>
          <w:p w14:paraId="237C424A" w14:textId="77777777" w:rsidR="00002AE5" w:rsidRPr="008A4A42" w:rsidRDefault="00002AE5" w:rsidP="00AA78EC">
            <w:pPr>
              <w:jc w:val="center"/>
              <w:rPr>
                <w:b/>
              </w:rPr>
            </w:pPr>
            <w:r w:rsidRPr="008A4A42">
              <w:rPr>
                <w:b/>
              </w:rPr>
              <w:t xml:space="preserve">Graduates working </w:t>
            </w:r>
            <w:r>
              <w:rPr>
                <w:b/>
              </w:rPr>
              <w:t xml:space="preserve">in the Lab field </w:t>
            </w:r>
            <w:r w:rsidRPr="008A4A42">
              <w:rPr>
                <w:b/>
              </w:rPr>
              <w:t xml:space="preserve">within </w:t>
            </w:r>
            <w:r>
              <w:rPr>
                <w:b/>
              </w:rPr>
              <w:t>12</w:t>
            </w:r>
            <w:r w:rsidRPr="008A4A42">
              <w:rPr>
                <w:b/>
              </w:rPr>
              <w:t xml:space="preserve"> months post-graduation</w:t>
            </w:r>
          </w:p>
        </w:tc>
        <w:tc>
          <w:tcPr>
            <w:tcW w:w="2519" w:type="dxa"/>
            <w:gridSpan w:val="2"/>
          </w:tcPr>
          <w:p w14:paraId="7107E686" w14:textId="77777777" w:rsidR="00002AE5" w:rsidRPr="008A4A42" w:rsidRDefault="00002AE5" w:rsidP="00AA78EC">
            <w:pPr>
              <w:jc w:val="center"/>
              <w:rPr>
                <w:b/>
              </w:rPr>
            </w:pPr>
            <w:r w:rsidRPr="008A4A42">
              <w:rPr>
                <w:b/>
              </w:rPr>
              <w:t xml:space="preserve">Graduates continuing their                       education </w:t>
            </w:r>
          </w:p>
        </w:tc>
        <w:tc>
          <w:tcPr>
            <w:tcW w:w="2233" w:type="dxa"/>
          </w:tcPr>
          <w:p w14:paraId="5723941F" w14:textId="77777777" w:rsidR="00002AE5" w:rsidRPr="008A4A42" w:rsidRDefault="00002AE5" w:rsidP="00AA78EC">
            <w:pPr>
              <w:jc w:val="center"/>
              <w:rPr>
                <w:b/>
              </w:rPr>
            </w:pPr>
            <w:r>
              <w:rPr>
                <w:b/>
              </w:rPr>
              <w:t xml:space="preserve">% Placement </w:t>
            </w:r>
          </w:p>
        </w:tc>
      </w:tr>
      <w:tr w:rsidR="00337D03" w14:paraId="5539B667" w14:textId="77777777" w:rsidTr="00077AFB">
        <w:tc>
          <w:tcPr>
            <w:tcW w:w="880" w:type="dxa"/>
          </w:tcPr>
          <w:p w14:paraId="24848D9A" w14:textId="4B938ECD" w:rsidR="00337D03" w:rsidRDefault="00337D03" w:rsidP="00337D03">
            <w:pPr>
              <w:jc w:val="center"/>
            </w:pPr>
            <w:r>
              <w:t>2023</w:t>
            </w:r>
          </w:p>
        </w:tc>
        <w:tc>
          <w:tcPr>
            <w:tcW w:w="2274" w:type="dxa"/>
          </w:tcPr>
          <w:p w14:paraId="0C3915DB" w14:textId="29D65BE9" w:rsidR="00337D03" w:rsidRDefault="00337D03" w:rsidP="00337D03">
            <w:pPr>
              <w:jc w:val="center"/>
            </w:pPr>
            <w:r>
              <w:t>11</w:t>
            </w:r>
          </w:p>
        </w:tc>
        <w:tc>
          <w:tcPr>
            <w:tcW w:w="2884" w:type="dxa"/>
          </w:tcPr>
          <w:p w14:paraId="05081BEC" w14:textId="0DF1FD0E" w:rsidR="00337D03" w:rsidRPr="00D41D03" w:rsidRDefault="00337D03" w:rsidP="00337D03">
            <w:pPr>
              <w:jc w:val="center"/>
              <w:rPr>
                <w:highlight w:val="yellow"/>
              </w:rPr>
            </w:pPr>
            <w:r>
              <w:t>10</w:t>
            </w:r>
          </w:p>
        </w:tc>
        <w:tc>
          <w:tcPr>
            <w:tcW w:w="2519" w:type="dxa"/>
            <w:gridSpan w:val="2"/>
          </w:tcPr>
          <w:p w14:paraId="2323EA67" w14:textId="015392D0" w:rsidR="00337D03" w:rsidRDefault="00337D03" w:rsidP="00337D03">
            <w:pPr>
              <w:jc w:val="center"/>
            </w:pPr>
            <w:r>
              <w:t>0</w:t>
            </w:r>
          </w:p>
        </w:tc>
        <w:tc>
          <w:tcPr>
            <w:tcW w:w="2233" w:type="dxa"/>
          </w:tcPr>
          <w:p w14:paraId="33E437B4" w14:textId="29D3270C" w:rsidR="00337D03" w:rsidRDefault="00337D03" w:rsidP="00337D03">
            <w:pPr>
              <w:jc w:val="center"/>
            </w:pPr>
            <w:r>
              <w:t>91%</w:t>
            </w:r>
          </w:p>
        </w:tc>
      </w:tr>
      <w:tr w:rsidR="00337D03" w14:paraId="17753EAD" w14:textId="77777777" w:rsidTr="00077AFB">
        <w:tc>
          <w:tcPr>
            <w:tcW w:w="880" w:type="dxa"/>
          </w:tcPr>
          <w:p w14:paraId="2217683C" w14:textId="248DC25D" w:rsidR="00337D03" w:rsidRDefault="00337D03" w:rsidP="00337D03">
            <w:pPr>
              <w:jc w:val="center"/>
            </w:pPr>
            <w:r>
              <w:t>2024</w:t>
            </w:r>
          </w:p>
        </w:tc>
        <w:tc>
          <w:tcPr>
            <w:tcW w:w="2274" w:type="dxa"/>
          </w:tcPr>
          <w:p w14:paraId="77067EF7" w14:textId="6D663CCE" w:rsidR="00337D03" w:rsidRDefault="00337D03" w:rsidP="00337D03">
            <w:pPr>
              <w:jc w:val="center"/>
            </w:pPr>
            <w:r>
              <w:t>13</w:t>
            </w:r>
          </w:p>
        </w:tc>
        <w:tc>
          <w:tcPr>
            <w:tcW w:w="2884" w:type="dxa"/>
          </w:tcPr>
          <w:p w14:paraId="4F41BA46" w14:textId="06378E92" w:rsidR="00337D03" w:rsidRPr="00D41D03" w:rsidRDefault="00337D03" w:rsidP="00337D03">
            <w:pPr>
              <w:jc w:val="center"/>
              <w:rPr>
                <w:highlight w:val="yellow"/>
              </w:rPr>
            </w:pPr>
            <w:r>
              <w:t>13</w:t>
            </w:r>
          </w:p>
        </w:tc>
        <w:tc>
          <w:tcPr>
            <w:tcW w:w="2519" w:type="dxa"/>
            <w:gridSpan w:val="2"/>
          </w:tcPr>
          <w:p w14:paraId="2793E2AD" w14:textId="1C652187" w:rsidR="00337D03" w:rsidRDefault="00337D03" w:rsidP="00337D03">
            <w:pPr>
              <w:jc w:val="center"/>
            </w:pPr>
            <w:r>
              <w:t>0</w:t>
            </w:r>
          </w:p>
        </w:tc>
        <w:tc>
          <w:tcPr>
            <w:tcW w:w="2233" w:type="dxa"/>
          </w:tcPr>
          <w:p w14:paraId="6F6BD91E" w14:textId="6EC3EB24" w:rsidR="00337D03" w:rsidRDefault="00337D03" w:rsidP="00337D03">
            <w:pPr>
              <w:jc w:val="center"/>
            </w:pPr>
            <w:r>
              <w:t>100%</w:t>
            </w:r>
          </w:p>
        </w:tc>
      </w:tr>
      <w:tr w:rsidR="00002AE5" w14:paraId="699D5F68" w14:textId="77777777" w:rsidTr="00BC5F2E">
        <w:tc>
          <w:tcPr>
            <w:tcW w:w="880" w:type="dxa"/>
            <w:tcBorders>
              <w:bottom w:val="thinThickSmallGap" w:sz="24" w:space="0" w:color="auto"/>
            </w:tcBorders>
          </w:tcPr>
          <w:p w14:paraId="07F2202F" w14:textId="6547442B" w:rsidR="00002AE5" w:rsidRDefault="00315529" w:rsidP="00AA78EC">
            <w:pPr>
              <w:jc w:val="center"/>
            </w:pPr>
            <w:r>
              <w:t>2025</w:t>
            </w:r>
          </w:p>
        </w:tc>
        <w:tc>
          <w:tcPr>
            <w:tcW w:w="2274" w:type="dxa"/>
            <w:tcBorders>
              <w:bottom w:val="thinThickSmallGap" w:sz="24" w:space="0" w:color="auto"/>
            </w:tcBorders>
          </w:tcPr>
          <w:p w14:paraId="6EC95A6D" w14:textId="2E0ED0A9" w:rsidR="00002AE5" w:rsidRDefault="00315529" w:rsidP="00AA78EC">
            <w:pPr>
              <w:jc w:val="center"/>
            </w:pPr>
            <w:r>
              <w:t>11</w:t>
            </w:r>
          </w:p>
        </w:tc>
        <w:tc>
          <w:tcPr>
            <w:tcW w:w="2884" w:type="dxa"/>
            <w:tcBorders>
              <w:bottom w:val="thinThickSmallGap" w:sz="24" w:space="0" w:color="auto"/>
            </w:tcBorders>
          </w:tcPr>
          <w:p w14:paraId="3D9F0002" w14:textId="70546676" w:rsidR="00002AE5" w:rsidRPr="00D41D03" w:rsidRDefault="00315529" w:rsidP="00AA78EC">
            <w:pPr>
              <w:jc w:val="center"/>
              <w:rPr>
                <w:highlight w:val="yellow"/>
              </w:rPr>
            </w:pPr>
            <w:r w:rsidRPr="00315529">
              <w:t>11</w:t>
            </w:r>
          </w:p>
        </w:tc>
        <w:tc>
          <w:tcPr>
            <w:tcW w:w="2519" w:type="dxa"/>
            <w:gridSpan w:val="2"/>
            <w:tcBorders>
              <w:bottom w:val="thinThickSmallGap" w:sz="24" w:space="0" w:color="auto"/>
            </w:tcBorders>
          </w:tcPr>
          <w:p w14:paraId="17D022AC" w14:textId="70EBA371" w:rsidR="00002AE5" w:rsidRDefault="00315529" w:rsidP="00AA78EC">
            <w:pPr>
              <w:jc w:val="center"/>
            </w:pPr>
            <w:r>
              <w:t>0</w:t>
            </w:r>
          </w:p>
        </w:tc>
        <w:tc>
          <w:tcPr>
            <w:tcW w:w="2233" w:type="dxa"/>
            <w:tcBorders>
              <w:bottom w:val="thinThickSmallGap" w:sz="24" w:space="0" w:color="auto"/>
            </w:tcBorders>
          </w:tcPr>
          <w:p w14:paraId="26CEE113" w14:textId="736807AB" w:rsidR="00002AE5" w:rsidRDefault="00315529" w:rsidP="00AA78EC">
            <w:pPr>
              <w:jc w:val="center"/>
            </w:pPr>
            <w:r>
              <w:t>100%</w:t>
            </w:r>
          </w:p>
        </w:tc>
      </w:tr>
      <w:tr w:rsidR="00D204E3" w14:paraId="73A998F9" w14:textId="7E3F5960" w:rsidTr="00BC5F2E">
        <w:tc>
          <w:tcPr>
            <w:tcW w:w="8095" w:type="dxa"/>
            <w:gridSpan w:val="4"/>
            <w:tcBorders>
              <w:top w:val="thinThickSmallGap" w:sz="24" w:space="0" w:color="auto"/>
              <w:left w:val="single" w:sz="4" w:space="0" w:color="auto"/>
              <w:bottom w:val="single" w:sz="4" w:space="0" w:color="auto"/>
              <w:right w:val="single" w:sz="4" w:space="0" w:color="auto"/>
            </w:tcBorders>
            <w:shd w:val="clear" w:color="auto" w:fill="D9E2F3" w:themeFill="accent1" w:themeFillTint="33"/>
          </w:tcPr>
          <w:p w14:paraId="4D313420" w14:textId="3FE00DED" w:rsidR="00D204E3" w:rsidRDefault="00D204E3" w:rsidP="00AA78EC">
            <w:pPr>
              <w:jc w:val="center"/>
            </w:pPr>
            <w:r>
              <w:rPr>
                <w:b/>
                <w:sz w:val="24"/>
                <w:szCs w:val="24"/>
              </w:rPr>
              <w:t>3-year average Placement Rate</w:t>
            </w:r>
          </w:p>
        </w:tc>
        <w:tc>
          <w:tcPr>
            <w:tcW w:w="2695" w:type="dxa"/>
            <w:gridSpan w:val="2"/>
            <w:tcBorders>
              <w:top w:val="thinThickSmallGap" w:sz="24" w:space="0" w:color="auto"/>
              <w:left w:val="single" w:sz="4" w:space="0" w:color="auto"/>
              <w:bottom w:val="single" w:sz="4" w:space="0" w:color="auto"/>
              <w:right w:val="single" w:sz="4" w:space="0" w:color="auto"/>
            </w:tcBorders>
            <w:shd w:val="clear" w:color="auto" w:fill="D9E2F3" w:themeFill="accent1" w:themeFillTint="33"/>
          </w:tcPr>
          <w:p w14:paraId="5F54A3C5" w14:textId="04DC96C8" w:rsidR="00D204E3" w:rsidRPr="00D77BE6" w:rsidRDefault="004D3579" w:rsidP="00D204E3">
            <w:pPr>
              <w:jc w:val="center"/>
              <w:rPr>
                <w:b/>
                <w:bCs/>
              </w:rPr>
            </w:pPr>
            <w:r>
              <w:rPr>
                <w:b/>
                <w:bCs/>
                <w:sz w:val="24"/>
                <w:szCs w:val="24"/>
              </w:rPr>
              <w:t>97</w:t>
            </w:r>
            <w:r w:rsidR="00D77BE6" w:rsidRPr="00C376C8">
              <w:rPr>
                <w:b/>
                <w:bCs/>
                <w:sz w:val="24"/>
                <w:szCs w:val="24"/>
              </w:rPr>
              <w:t>%</w:t>
            </w:r>
          </w:p>
        </w:tc>
      </w:tr>
    </w:tbl>
    <w:p w14:paraId="5561F9E3" w14:textId="4CE943FA" w:rsidR="0050674E" w:rsidRDefault="00A33AB4" w:rsidP="00A33AB4">
      <w:pPr>
        <w:jc w:val="right"/>
      </w:pPr>
      <w:r w:rsidRPr="0050674E">
        <w:rPr>
          <w:sz w:val="16"/>
          <w:szCs w:val="16"/>
        </w:rPr>
        <w:t xml:space="preserve">Updated </w:t>
      </w:r>
      <w:r w:rsidR="00337D03">
        <w:rPr>
          <w:sz w:val="16"/>
          <w:szCs w:val="16"/>
        </w:rPr>
        <w:t>4</w:t>
      </w:r>
      <w:r w:rsidR="00A80676">
        <w:rPr>
          <w:sz w:val="16"/>
          <w:szCs w:val="16"/>
        </w:rPr>
        <w:t>/</w:t>
      </w:r>
      <w:r w:rsidR="00337D03">
        <w:rPr>
          <w:sz w:val="16"/>
          <w:szCs w:val="16"/>
        </w:rPr>
        <w:t>3</w:t>
      </w:r>
      <w:r w:rsidR="00A80676">
        <w:rPr>
          <w:sz w:val="16"/>
          <w:szCs w:val="16"/>
        </w:rPr>
        <w:t>/</w:t>
      </w:r>
      <w:r w:rsidR="000C2AFC">
        <w:rPr>
          <w:sz w:val="16"/>
          <w:szCs w:val="16"/>
        </w:rPr>
        <w:t>202</w:t>
      </w:r>
      <w:r w:rsidR="00337D03">
        <w:rPr>
          <w:sz w:val="16"/>
          <w:szCs w:val="16"/>
        </w:rPr>
        <w:t>6</w:t>
      </w:r>
    </w:p>
    <w:sectPr w:rsidR="0050674E" w:rsidSect="00B60349">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A8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477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88"/>
    <w:rsid w:val="00002AE5"/>
    <w:rsid w:val="000176E3"/>
    <w:rsid w:val="00056909"/>
    <w:rsid w:val="00077AFB"/>
    <w:rsid w:val="000A5F53"/>
    <w:rsid w:val="000C2AFC"/>
    <w:rsid w:val="001213DA"/>
    <w:rsid w:val="00136967"/>
    <w:rsid w:val="00182550"/>
    <w:rsid w:val="001A3DCB"/>
    <w:rsid w:val="001E666C"/>
    <w:rsid w:val="00212C5E"/>
    <w:rsid w:val="002326EA"/>
    <w:rsid w:val="00242C88"/>
    <w:rsid w:val="002441B9"/>
    <w:rsid w:val="0028281F"/>
    <w:rsid w:val="002A1786"/>
    <w:rsid w:val="002C2ECF"/>
    <w:rsid w:val="00306BB6"/>
    <w:rsid w:val="00315529"/>
    <w:rsid w:val="00337D03"/>
    <w:rsid w:val="00355342"/>
    <w:rsid w:val="00367ED4"/>
    <w:rsid w:val="00397550"/>
    <w:rsid w:val="003C2A9D"/>
    <w:rsid w:val="00431BF5"/>
    <w:rsid w:val="00472C90"/>
    <w:rsid w:val="004B28D6"/>
    <w:rsid w:val="004D3579"/>
    <w:rsid w:val="004F1731"/>
    <w:rsid w:val="005019ED"/>
    <w:rsid w:val="0050674E"/>
    <w:rsid w:val="00540C7E"/>
    <w:rsid w:val="00545B48"/>
    <w:rsid w:val="005F6844"/>
    <w:rsid w:val="00604F10"/>
    <w:rsid w:val="006116BA"/>
    <w:rsid w:val="00642128"/>
    <w:rsid w:val="006627DD"/>
    <w:rsid w:val="00772EB6"/>
    <w:rsid w:val="0078580B"/>
    <w:rsid w:val="007907FF"/>
    <w:rsid w:val="008046AF"/>
    <w:rsid w:val="008714A1"/>
    <w:rsid w:val="00884D82"/>
    <w:rsid w:val="00895973"/>
    <w:rsid w:val="008A4A42"/>
    <w:rsid w:val="008A6C8C"/>
    <w:rsid w:val="008E1ED4"/>
    <w:rsid w:val="008E6936"/>
    <w:rsid w:val="0090534A"/>
    <w:rsid w:val="00942E7F"/>
    <w:rsid w:val="00956C33"/>
    <w:rsid w:val="009B4CFB"/>
    <w:rsid w:val="00A017E2"/>
    <w:rsid w:val="00A23319"/>
    <w:rsid w:val="00A33AB4"/>
    <w:rsid w:val="00A53807"/>
    <w:rsid w:val="00A80676"/>
    <w:rsid w:val="00A80E5E"/>
    <w:rsid w:val="00AA78EC"/>
    <w:rsid w:val="00B13176"/>
    <w:rsid w:val="00B60349"/>
    <w:rsid w:val="00BC5F2E"/>
    <w:rsid w:val="00C16BE9"/>
    <w:rsid w:val="00C376C8"/>
    <w:rsid w:val="00C42195"/>
    <w:rsid w:val="00CA3BAB"/>
    <w:rsid w:val="00CA478C"/>
    <w:rsid w:val="00CD011F"/>
    <w:rsid w:val="00CD01B4"/>
    <w:rsid w:val="00D204E3"/>
    <w:rsid w:val="00D308C9"/>
    <w:rsid w:val="00D77BE6"/>
    <w:rsid w:val="00DC06C0"/>
    <w:rsid w:val="00DD7865"/>
    <w:rsid w:val="00DE0E18"/>
    <w:rsid w:val="00E542F0"/>
    <w:rsid w:val="00E72356"/>
    <w:rsid w:val="00E85C16"/>
    <w:rsid w:val="00EA3D6D"/>
    <w:rsid w:val="00EC10B0"/>
    <w:rsid w:val="00F07FE4"/>
    <w:rsid w:val="00F7660A"/>
    <w:rsid w:val="00FE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8E1C"/>
  <w15:chartTrackingRefBased/>
  <w15:docId w15:val="{C18E3374-1A6A-C444-9522-2AB895B8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MaineGeneral Health</dc:creator>
  <cp:keywords/>
  <cp:lastModifiedBy>Leigh A Belair</cp:lastModifiedBy>
  <cp:revision>3</cp:revision>
  <cp:lastPrinted>2022-05-05T15:54:00Z</cp:lastPrinted>
  <dcterms:created xsi:type="dcterms:W3CDTF">2026-04-03T18:39:00Z</dcterms:created>
  <dcterms:modified xsi:type="dcterms:W3CDTF">2026-04-03T18:45:00Z</dcterms:modified>
</cp:coreProperties>
</file>